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7. ПЕРЕВОЗКА ГРУЗОВ КОНТЕЙНЕРАМИ И ПАКЕТАМИ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План лекции: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7.1. Правила перевозок грузов в контейнерах железнодорожным транспортом 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7.2. Особенности перевозки грузов в контейнерах автомобильным транспортом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7.3. Перевозка грузов пакетами.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7.4. Применение контейнеров на других видах транспорта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7.1. Правила перевозок грузов в контейнерах железнодорожным транспортом.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Дорогостоящие грузы перевозят преимущественно в контейнерах. Сейчас около 80% генеральных грузов перевозятся в контейнерах (станки, приборы, мебель, продовольствие, текстильные, кожевенные и химические товары). Размеры контейнеров стандартные. Наиболее распространены в международных перевозках контейнеры типа ИС длиной 20 футов, массой в груженом состоянии 20т, внутренним объемом 31 м</w:t>
      </w:r>
      <w:r w:rsidRPr="002F6264">
        <w:rPr>
          <w:rFonts w:ascii="Times New Roman" w:hAnsi="Times New Roman"/>
          <w:color w:val="000000"/>
          <w:sz w:val="24"/>
          <w:szCs w:val="24"/>
          <w:vertAlign w:val="superscript"/>
          <w:lang w:eastAsia="ru-RU"/>
        </w:rPr>
        <w:t>3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 Есть еще и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сорокафутовые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Стоимость и расходы на содержание одного контейнера с увеличением его размеров уменьшаются, но сдерживает рост их размеров сложность операций с очень большими контейнерами. В мире 67% двадцатифутовых и 31% сорокафутовых контейнеров. По назначению в мире 80% универсальных контейнеров, 9% рефрижераторных и 11% специализированных (для наливных и сыпучих грузов, с открытым верхом или стенкой для негабаритных грузов). По производству контейнеров на первом места Южная Корея, на втором – Тайвань.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Порядок и условия перевозок в контейнерах установлен Правилами перевозок грузов в контейнерах на различных видах транспорта.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Универсальный контейнер –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унифицированная грузовая единица, предназначенная для перевозки тарных и штучных грузов, представляющая собой стандартизированную по массе брутто, габаритным размерам, снабженную кодовыми обозначениями, стандартизированными по форме, содержанию, месту размещения, надписями и табличками конструкцию с расположенными на ней приспособлениями для закрепления на различных видах транспортных средств и механизации погрузочно-разгрузочных работ.</w:t>
      </w:r>
      <w:proofErr w:type="gramEnd"/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Различают следующие типы универсальных контейнеров, применяемых в РК и СНГ (см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.т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аблицу 7.1).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Крупнотоннажные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контейнеры предназначаются в основном для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бесперегрузочной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доставки грузов.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Среднетоннажные</w:t>
      </w:r>
      <w:proofErr w:type="spellEnd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–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предназначаются для перевозки грузов мелкими отправками.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Малотоннажные –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для перевозки мелких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отправок грузов в крытых вагонах.</w:t>
      </w:r>
      <w:proofErr w:type="gramEnd"/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Таблица 7.1</w:t>
      </w:r>
    </w:p>
    <w:tbl>
      <w:tblPr>
        <w:tblW w:w="958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/>
      </w:tblPr>
      <w:tblGrid>
        <w:gridCol w:w="2800"/>
        <w:gridCol w:w="1877"/>
        <w:gridCol w:w="1108"/>
        <w:gridCol w:w="3800"/>
      </w:tblGrid>
      <w:tr w:rsidR="008A1063" w:rsidRPr="002F6264" w:rsidTr="00531825">
        <w:trPr>
          <w:tblCellSpacing w:w="0" w:type="dxa"/>
        </w:trPr>
        <w:tc>
          <w:tcPr>
            <w:tcW w:w="9345" w:type="dxa"/>
            <w:gridSpan w:val="4"/>
            <w:tcBorders>
              <w:top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color w:val="666666"/>
                <w:sz w:val="24"/>
                <w:szCs w:val="24"/>
                <w:lang w:eastAsia="ru-RU"/>
              </w:rPr>
              <w:t>^</w:t>
            </w:r>
            <w:r w:rsidRPr="002F62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 По конструкции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4560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закрытые</w:t>
            </w:r>
          </w:p>
        </w:tc>
        <w:tc>
          <w:tcPr>
            <w:tcW w:w="45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4560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Загружаются через дверной прием</w:t>
            </w:r>
          </w:p>
        </w:tc>
        <w:tc>
          <w:tcPr>
            <w:tcW w:w="45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Загружаются сверху (со съемной крышей или съемным тентом или без них)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9345" w:type="dxa"/>
            <w:gridSpan w:val="4"/>
            <w:tcBorders>
              <w:top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 обращению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4560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широкого обращения</w:t>
            </w:r>
          </w:p>
        </w:tc>
        <w:tc>
          <w:tcPr>
            <w:tcW w:w="45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ограниченного обращения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4560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Оборудуются рамами, пазами и фитингами, обеспечивающими их перегрузку кранами и вилочными погрузчиками</w:t>
            </w:r>
          </w:p>
        </w:tc>
        <w:tc>
          <w:tcPr>
            <w:tcW w:w="45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Как правило, оборудуются одним или несколькими устройствами, </w:t>
            </w:r>
            <w:proofErr w:type="spellStart"/>
            <w:proofErr w:type="gramStart"/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обеспечиваю-щими</w:t>
            </w:r>
            <w:proofErr w:type="spellEnd"/>
            <w:proofErr w:type="gramEnd"/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их перегрузку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9345" w:type="dxa"/>
            <w:gridSpan w:val="4"/>
            <w:tcBorders>
              <w:top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 параметрам и конструкции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4560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унифицированные</w:t>
            </w:r>
          </w:p>
        </w:tc>
        <w:tc>
          <w:tcPr>
            <w:tcW w:w="45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неунифицированные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4560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Могут применяться на всех видах транспорта в прямом, смешанном и международном сообщениях</w:t>
            </w:r>
          </w:p>
        </w:tc>
        <w:tc>
          <w:tcPr>
            <w:tcW w:w="45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Применяются только для определенных перевозок 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9345" w:type="dxa"/>
            <w:gridSpan w:val="4"/>
            <w:tcBorders>
              <w:top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 грузовместимости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2730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крупнотоннажные</w:t>
            </w:r>
          </w:p>
        </w:tc>
        <w:tc>
          <w:tcPr>
            <w:tcW w:w="29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среднетоннажные</w:t>
            </w:r>
            <w:proofErr w:type="spellEnd"/>
          </w:p>
        </w:tc>
        <w:tc>
          <w:tcPr>
            <w:tcW w:w="3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малотоннажные</w:t>
            </w:r>
          </w:p>
        </w:tc>
      </w:tr>
      <w:tr w:rsidR="008A1063" w:rsidRPr="002F6264" w:rsidTr="00531825">
        <w:trPr>
          <w:tblCellSpacing w:w="0" w:type="dxa"/>
        </w:trPr>
        <w:tc>
          <w:tcPr>
            <w:tcW w:w="2730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 массой брутто 10 и более тонн</w:t>
            </w:r>
          </w:p>
        </w:tc>
        <w:tc>
          <w:tcPr>
            <w:tcW w:w="29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массой брутто более 2,5 т, но менее 10т</w:t>
            </w:r>
          </w:p>
        </w:tc>
        <w:tc>
          <w:tcPr>
            <w:tcW w:w="3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2F6264" w:rsidRDefault="008A1063" w:rsidP="00531825">
            <w:pPr>
              <w:spacing w:after="0" w:line="240" w:lineRule="auto"/>
              <w:ind w:right="-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626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Массой брутто менее 2,5 тонн</w:t>
            </w:r>
          </w:p>
        </w:tc>
      </w:tr>
    </w:tbl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Основные размеры крупн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о-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среднетоннажных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контейнеров приведен в таблице [4 стр. 174]. Все контейнеры должны иметь маркировку установленного образца.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 допускается перевозка в контейнерах, принадлежащих железной дороге, зловонных, загрязняющих внутренние поверхности грузов, после перевозки и выгрузки которых требуется правилами промывки и очистки вагонов дезинфекция.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Жидкие грузы можно перевозить только в первичной небьющейся таре (бочках, бидонах, канистрах, пластиковых емкостях), а также расфасованные в мелкую тару, упакованную в картонные коробки, обрешетку и другую облегченную упаковку. При этом мелкая тара должна быть предназначена под перевозку предъявленного жидкого груза.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 погрузку подаются исправные контейнеры, годные для перевозки данного груза, очищенные от остатков груза и мусора. Предъявляемые к перевозке грузы, а также предназначенный для их перевозки контейнер должны быть подготовлены так, чтобы при погрузке, перевозке и выгрузке исключить различного рода трения, деформацию, примерзание или перегрев груза, его отрицательное воздействие на контейнер.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Грузы в контейнеры должны размещаться грузоотправителем таким образом, чтобы исключалась возможность перемещения их внутри контейнера. Не допускается давление груза на двери контейнера. Поэтому при укладке груза необходимо между ним и дверью оставлять свободное пространство в 3…5 см. Прибивать грузы или приспособления для их крепления гвоздями или скобами к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полу контейнера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запрещается. Крепление грузов в контейнере достигается установкой опорных брусков, цепей, ограничительных щитов, распорных рамок из досок и пр.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После загрузки контейнера грузом производится закрытие, запирание дверей контейнера и его опломбирование в порядке, установленном правила пломбирования вагонов и контейнеров.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После прибытия в пункт назначения контейнеры, подлежащие выдаче в местах общего пользования, хранятся на станции назначения бесплатно в течение 24 часов. При задержке приема контейнеров железные дороги взимают плату за время нахождения в местах общего пользования в размере, определенном тарифным руководством.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Очистка контейнеров после выгрузки во всех случаях производится грузополучателем. При невыполнении грузополучателем требований по очистке контейнера железная дорога имеет право не принимать контейнер до полной очистки и начислять плату за пользование контейнером за все время его задержки.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Специализированный контейнер –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унифицированная единица транспортного оборудования, предназначенная для многократной перевозки определенной номенклатуры грузов (жидких, насыпных, опасных, скоропортящихся и пр.) и представляющая собой конструкцию, стандартную по размерам, массе брутто и имеющую обозначения и надписи в соответствии с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ГОСТами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другими нормативными техническими документами.</w:t>
      </w:r>
      <w:proofErr w:type="gramEnd"/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В любом случае конструкция специализированного контейнера должна обеспечивать:</w:t>
      </w:r>
    </w:p>
    <w:p w:rsidR="008A1063" w:rsidRPr="002F6264" w:rsidRDefault="008A1063" w:rsidP="008A1063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механизированную загрузку и выгрузку грузов;</w:t>
      </w:r>
    </w:p>
    <w:p w:rsidR="008A1063" w:rsidRPr="002F6264" w:rsidRDefault="008A1063" w:rsidP="008A1063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механизацию </w:t>
      </w:r>
      <w:proofErr w:type="spellStart"/>
      <w:proofErr w:type="gram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погрузочно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разгрузочных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операций;</w:t>
      </w:r>
    </w:p>
    <w:p w:rsidR="008A1063" w:rsidRPr="002F6264" w:rsidRDefault="008A1063" w:rsidP="008A1063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штабелировании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контейнеров в 2-3 яруса;</w:t>
      </w:r>
    </w:p>
    <w:p w:rsidR="008A1063" w:rsidRPr="002F6264" w:rsidRDefault="008A1063" w:rsidP="008A1063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наиболее полное использование грузоподъемности контейнера;</w:t>
      </w:r>
    </w:p>
    <w:p w:rsidR="008A1063" w:rsidRPr="002F6264" w:rsidRDefault="008A1063" w:rsidP="008A1063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влагонепроницаемость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для грузов, боящихся атмосферного воздействия;</w:t>
      </w:r>
    </w:p>
    <w:p w:rsidR="008A1063" w:rsidRPr="002F6264" w:rsidRDefault="008A1063" w:rsidP="008A1063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возможность размораживания грузов;</w:t>
      </w:r>
    </w:p>
    <w:p w:rsidR="008A1063" w:rsidRPr="002F6264" w:rsidRDefault="008A1063" w:rsidP="008A1063">
      <w:pPr>
        <w:numPr>
          <w:ilvl w:val="0"/>
          <w:numId w:val="1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сохранение устойчивости пакетирования груза и исключение боя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огнеупорных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изделии и стекла при перевозке и перегрузке.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Габаритные размеры (за исключением контейнеров индивидуального назначения), расположение фитингов,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рымных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узлов, вилочных проемов контейнеров-цистерн такие же, как и у универсальных контейнеров. Кроме того, вновь изготовленные специализированные контейнеры и впервые предъявляемые к перевозке по железной дороге должны иметь сертификат соответствия или табличку, установленную Международной конвенцией по безопасным контейнерам.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Таблица 7.2 Специализированные контейнеры подразделяются:</w:t>
      </w:r>
    </w:p>
    <w:tbl>
      <w:tblPr>
        <w:tblW w:w="1002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A0"/>
      </w:tblPr>
      <w:tblGrid>
        <w:gridCol w:w="2163"/>
        <w:gridCol w:w="928"/>
        <w:gridCol w:w="1219"/>
        <w:gridCol w:w="670"/>
        <w:gridCol w:w="1229"/>
        <w:gridCol w:w="567"/>
        <w:gridCol w:w="1216"/>
        <w:gridCol w:w="931"/>
        <w:gridCol w:w="1097"/>
      </w:tblGrid>
      <w:tr w:rsidR="008A1063" w:rsidRPr="002F6264" w:rsidTr="00531825">
        <w:trPr>
          <w:trHeight w:val="15"/>
          <w:tblCellSpacing w:w="0" w:type="dxa"/>
        </w:trPr>
        <w:tc>
          <w:tcPr>
            <w:tcW w:w="10020" w:type="dxa"/>
            <w:gridSpan w:val="9"/>
            <w:tcBorders>
              <w:top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15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По номинальной маме брутто</w:t>
            </w:r>
          </w:p>
        </w:tc>
      </w:tr>
      <w:tr w:rsidR="008A1063" w:rsidRPr="002F6264" w:rsidTr="00531825">
        <w:trPr>
          <w:trHeight w:val="30"/>
          <w:tblCellSpacing w:w="0" w:type="dxa"/>
        </w:trPr>
        <w:tc>
          <w:tcPr>
            <w:tcW w:w="4980" w:type="dxa"/>
            <w:gridSpan w:val="4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3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Среднетоннажные</w:t>
            </w:r>
            <w:proofErr w:type="spellEnd"/>
          </w:p>
        </w:tc>
        <w:tc>
          <w:tcPr>
            <w:tcW w:w="50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3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Крупнотоннажные</w:t>
            </w:r>
          </w:p>
        </w:tc>
      </w:tr>
      <w:tr w:rsidR="008A1063" w:rsidRPr="002F6264" w:rsidTr="00531825">
        <w:trPr>
          <w:trHeight w:val="300"/>
          <w:tblCellSpacing w:w="0" w:type="dxa"/>
        </w:trPr>
        <w:tc>
          <w:tcPr>
            <w:tcW w:w="4980" w:type="dxa"/>
            <w:gridSpan w:val="4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 максимальной массой брутто более 2,5т, но менее 10т</w:t>
            </w:r>
          </w:p>
        </w:tc>
        <w:tc>
          <w:tcPr>
            <w:tcW w:w="50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 максимальной массой брутто, равной 10 т и более</w:t>
            </w:r>
          </w:p>
        </w:tc>
      </w:tr>
      <w:tr w:rsidR="008A1063" w:rsidRPr="002F6264" w:rsidTr="00531825">
        <w:trPr>
          <w:trHeight w:val="60"/>
          <w:tblCellSpacing w:w="0" w:type="dxa"/>
        </w:trPr>
        <w:tc>
          <w:tcPr>
            <w:tcW w:w="10020" w:type="dxa"/>
            <w:gridSpan w:val="9"/>
            <w:tcBorders>
              <w:top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6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По видам грузов</w:t>
            </w:r>
          </w:p>
        </w:tc>
      </w:tr>
      <w:tr w:rsidR="008A1063" w:rsidRPr="002F6264" w:rsidTr="00531825">
        <w:trPr>
          <w:trHeight w:val="540"/>
          <w:tblCellSpacing w:w="0" w:type="dxa"/>
        </w:trPr>
        <w:tc>
          <w:tcPr>
            <w:tcW w:w="216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 w:firstLine="18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Для индустриальных штучных грузов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-180" w:right="-5" w:firstLine="36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Для сыпучих грузов</w:t>
            </w:r>
          </w:p>
        </w:tc>
        <w:tc>
          <w:tcPr>
            <w:tcW w:w="246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-180" w:right="-5" w:firstLine="36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Для жидких грузов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-180" w:right="-5" w:firstLine="36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Для стекла и стеклоизделий</w:t>
            </w:r>
          </w:p>
        </w:tc>
        <w:tc>
          <w:tcPr>
            <w:tcW w:w="10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Изотермические</w:t>
            </w:r>
          </w:p>
        </w:tc>
      </w:tr>
      <w:tr w:rsidR="008A1063" w:rsidRPr="002F6264" w:rsidTr="00531825">
        <w:trPr>
          <w:trHeight w:val="1095"/>
          <w:tblCellSpacing w:w="0" w:type="dxa"/>
        </w:trPr>
        <w:tc>
          <w:tcPr>
            <w:tcW w:w="216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 w:firstLine="18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Защищающие</w:t>
            </w:r>
            <w:proofErr w:type="gramEnd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от механических повреждений и атмосферных осадков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 w:firstLine="18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Защищающие от </w:t>
            </w:r>
            <w:proofErr w:type="spellStart"/>
            <w:proofErr w:type="gram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влажнос-ти</w:t>
            </w:r>
            <w:proofErr w:type="spellEnd"/>
            <w:proofErr w:type="gramEnd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смерзания или «</w:t>
            </w:r>
            <w:proofErr w:type="spell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слежи-вания</w:t>
            </w:r>
            <w:proofErr w:type="spellEnd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6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10" w:right="-5" w:firstLine="36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Обеспечивающие условия для налива, </w:t>
            </w:r>
            <w:proofErr w:type="spellStart"/>
            <w:proofErr w:type="gram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перевоз-ки</w:t>
            </w:r>
            <w:proofErr w:type="spellEnd"/>
            <w:proofErr w:type="gramEnd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 слива (в т.ч. подогрева)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64" w:right="-5" w:firstLine="36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Защищающие</w:t>
            </w:r>
            <w:proofErr w:type="gramEnd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от боя при перевозке и перегрузке</w:t>
            </w:r>
          </w:p>
        </w:tc>
        <w:tc>
          <w:tcPr>
            <w:tcW w:w="10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64" w:right="-5" w:firstLine="36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Для </w:t>
            </w:r>
            <w:proofErr w:type="spellStart"/>
            <w:proofErr w:type="gram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скоропор-тящихся</w:t>
            </w:r>
            <w:proofErr w:type="spellEnd"/>
            <w:proofErr w:type="gramEnd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грузов</w:t>
            </w:r>
          </w:p>
        </w:tc>
      </w:tr>
      <w:tr w:rsidR="008A1063" w:rsidRPr="002F6264" w:rsidTr="00531825">
        <w:trPr>
          <w:trHeight w:val="30"/>
          <w:tblCellSpacing w:w="0" w:type="dxa"/>
        </w:trPr>
        <w:tc>
          <w:tcPr>
            <w:tcW w:w="10020" w:type="dxa"/>
            <w:gridSpan w:val="9"/>
            <w:tcBorders>
              <w:top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3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По конструкции</w:t>
            </w:r>
          </w:p>
        </w:tc>
      </w:tr>
      <w:tr w:rsidR="008A1063" w:rsidRPr="002F6264" w:rsidTr="00531825">
        <w:trPr>
          <w:trHeight w:val="30"/>
          <w:tblCellSpacing w:w="0" w:type="dxa"/>
        </w:trPr>
        <w:tc>
          <w:tcPr>
            <w:tcW w:w="3091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3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Жесткие</w:t>
            </w:r>
          </w:p>
        </w:tc>
        <w:tc>
          <w:tcPr>
            <w:tcW w:w="4901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3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Мягкие</w:t>
            </w:r>
          </w:p>
        </w:tc>
        <w:tc>
          <w:tcPr>
            <w:tcW w:w="20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3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Комбинированные</w:t>
            </w:r>
          </w:p>
        </w:tc>
      </w:tr>
      <w:tr w:rsidR="008A1063" w:rsidRPr="002F6264" w:rsidTr="00531825">
        <w:trPr>
          <w:trHeight w:val="1335"/>
          <w:tblCellSpacing w:w="0" w:type="dxa"/>
        </w:trPr>
        <w:tc>
          <w:tcPr>
            <w:tcW w:w="3091" w:type="dxa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180"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Деревометаллические и цельнометаллические из стали, в некоторых случаях – из алюминия</w:t>
            </w:r>
            <w:proofErr w:type="gramEnd"/>
          </w:p>
        </w:tc>
        <w:tc>
          <w:tcPr>
            <w:tcW w:w="4901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Пластмассовые, пластиковые, тканевые, прорезиненные и т.д.</w:t>
            </w: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br/>
              <w:t xml:space="preserve">(основные преимущества: </w:t>
            </w:r>
            <w:proofErr w:type="gramEnd"/>
          </w:p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-компактность;</w:t>
            </w:r>
          </w:p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-небольшой объем в порожнем состоянии</w:t>
            </w:r>
          </w:p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-небольшой коэффициент тары;</w:t>
            </w:r>
          </w:p>
          <w:p w:rsidR="008A1063" w:rsidRPr="00762CCF" w:rsidRDefault="008A1063" w:rsidP="00531825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-простота конструкции)</w:t>
            </w:r>
          </w:p>
        </w:tc>
        <w:tc>
          <w:tcPr>
            <w:tcW w:w="20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right="-5" w:firstLine="108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Сочетание жестких и мягких элементов конструкции</w:t>
            </w:r>
          </w:p>
        </w:tc>
      </w:tr>
      <w:tr w:rsidR="008A1063" w:rsidRPr="002F6264" w:rsidTr="00531825">
        <w:trPr>
          <w:trHeight w:val="30"/>
          <w:tblCellSpacing w:w="0" w:type="dxa"/>
        </w:trPr>
        <w:tc>
          <w:tcPr>
            <w:tcW w:w="10020" w:type="dxa"/>
            <w:gridSpan w:val="9"/>
            <w:tcBorders>
              <w:top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3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По назначению</w:t>
            </w:r>
          </w:p>
        </w:tc>
      </w:tr>
      <w:tr w:rsidR="008A1063" w:rsidRPr="002F6264" w:rsidTr="00531825">
        <w:trPr>
          <w:trHeight w:val="60"/>
          <w:tblCellSpacing w:w="0" w:type="dxa"/>
        </w:trPr>
        <w:tc>
          <w:tcPr>
            <w:tcW w:w="6209" w:type="dxa"/>
            <w:gridSpan w:val="5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6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Индивидуальные</w:t>
            </w:r>
          </w:p>
        </w:tc>
        <w:tc>
          <w:tcPr>
            <w:tcW w:w="3811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60" w:lineRule="atLeast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Групповые</w:t>
            </w:r>
          </w:p>
        </w:tc>
      </w:tr>
      <w:tr w:rsidR="008A1063" w:rsidRPr="002F6264" w:rsidTr="00531825">
        <w:trPr>
          <w:trHeight w:val="285"/>
          <w:tblCellSpacing w:w="0" w:type="dxa"/>
        </w:trPr>
        <w:tc>
          <w:tcPr>
            <w:tcW w:w="6209" w:type="dxa"/>
            <w:gridSpan w:val="5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-180" w:right="-5" w:firstLine="90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Для грузов, требующих особых условий транспортировки</w:t>
            </w:r>
          </w:p>
        </w:tc>
        <w:tc>
          <w:tcPr>
            <w:tcW w:w="3811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8A1063" w:rsidRPr="00762CCF" w:rsidRDefault="008A1063" w:rsidP="00531825">
            <w:pPr>
              <w:spacing w:after="0" w:line="240" w:lineRule="auto"/>
              <w:ind w:left="631" w:right="-5" w:hanging="36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62CC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Для грузов, однородных по своим свойствам, условиям перевозки, погрузки и выгрузки</w:t>
            </w:r>
          </w:p>
        </w:tc>
      </w:tr>
    </w:tbl>
    <w:p w:rsidR="008A1063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Специализированные крупнотоннажные контейнеры, используемые для перевозки грузов в прямом или смешанном сообщении, должны соответствовать нормам Международной конвенции по безопасным контейнерам, государственным и международным стандартам. Крупнотоннажные контейнеры, не соответствующие указанным нормам, к перевозке не допускаются.</w:t>
      </w:r>
    </w:p>
    <w:p w:rsidR="008A1063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A1063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7.2. Особенности перевозки грузов в контейнерах автомобильным транспортом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Основными типами универсальных контейнеров для перевозки грузов автомобильным транспортом являются контейнеры:</w:t>
      </w:r>
    </w:p>
    <w:p w:rsidR="008A1063" w:rsidRPr="002F6264" w:rsidRDefault="008A1063" w:rsidP="008A1063">
      <w:pPr>
        <w:numPr>
          <w:ilvl w:val="0"/>
          <w:numId w:val="2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малотоннажные – 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массой брутто 0,625т, 1,25т, 2,5т – предназначены для перевозок мелких отправок грузов;</w:t>
      </w:r>
    </w:p>
    <w:p w:rsidR="008A1063" w:rsidRPr="002F6264" w:rsidRDefault="008A1063" w:rsidP="008A1063">
      <w:pPr>
        <w:numPr>
          <w:ilvl w:val="0"/>
          <w:numId w:val="2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среднетоннажные</w:t>
      </w:r>
      <w:proofErr w:type="spellEnd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–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3т, 5т, 10т – предназначены для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бесперегрузочной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доставки грузов мелкими отправками;</w:t>
      </w:r>
    </w:p>
    <w:p w:rsidR="008A1063" w:rsidRPr="002F6264" w:rsidRDefault="008A1063" w:rsidP="008A1063">
      <w:pPr>
        <w:numPr>
          <w:ilvl w:val="0"/>
          <w:numId w:val="2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крупнотоннажные –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20т и более – предназначены для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бесперегрузочной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перевозки грузов преимущественно малотоннажными отправками.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Вес отдельных грузовых мест, предъявляемых к перевозке в контейнерах, не должен превышать:</w:t>
      </w:r>
    </w:p>
    <w:p w:rsidR="008A1063" w:rsidRPr="002F6264" w:rsidRDefault="008A1063" w:rsidP="008A1063">
      <w:pPr>
        <w:numPr>
          <w:ilvl w:val="0"/>
          <w:numId w:val="3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80 кг для малотоннажных контейнеров грузоподъемностью 0,625 т, 1, 25т;</w:t>
      </w:r>
    </w:p>
    <w:p w:rsidR="008A1063" w:rsidRPr="002F6264" w:rsidRDefault="008A1063" w:rsidP="008A1063">
      <w:pPr>
        <w:numPr>
          <w:ilvl w:val="0"/>
          <w:numId w:val="3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120 кг для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среднетоннажных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контейнеров грузоподъемностью 2,5(3)т, 5т;</w:t>
      </w:r>
    </w:p>
    <w:p w:rsidR="008A1063" w:rsidRPr="002F6264" w:rsidRDefault="008A1063" w:rsidP="008A1063">
      <w:pPr>
        <w:numPr>
          <w:ilvl w:val="0"/>
          <w:numId w:val="3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300 кг для большегрузных контейнеров грузоподъемностью 10 т и более.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договорах перевозки грузов в контейнерах необходимо зафиксировать следующее:</w:t>
      </w:r>
    </w:p>
    <w:p w:rsidR="008A1063" w:rsidRPr="002F6264" w:rsidRDefault="008A1063" w:rsidP="008A1063">
      <w:pPr>
        <w:numPr>
          <w:ilvl w:val="0"/>
          <w:numId w:val="4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объемы перевозок грузов в контейнерах каждого типа (в том числе отдельно по завозу и вывозу контейнеров);</w:t>
      </w:r>
    </w:p>
    <w:p w:rsidR="008A1063" w:rsidRPr="002F6264" w:rsidRDefault="008A1063" w:rsidP="008A1063">
      <w:pPr>
        <w:numPr>
          <w:ilvl w:val="0"/>
          <w:numId w:val="4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график завоза порожных и вывоза груженых контейнеров от грузоотправителя;</w:t>
      </w:r>
    </w:p>
    <w:p w:rsidR="008A1063" w:rsidRPr="002F6264" w:rsidRDefault="008A1063" w:rsidP="008A1063">
      <w:pPr>
        <w:numPr>
          <w:ilvl w:val="0"/>
          <w:numId w:val="4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порядок погрузки и разгрузки контейнеров (со снятием их с автомобиля или без снятия с автомобиля);</w:t>
      </w:r>
    </w:p>
    <w:p w:rsidR="008A1063" w:rsidRPr="002F6264" w:rsidRDefault="008A1063" w:rsidP="008A1063">
      <w:pPr>
        <w:numPr>
          <w:ilvl w:val="0"/>
          <w:numId w:val="4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определение количества оборотных контейнеров, порядок оформления документов и т.д.</w:t>
      </w:r>
    </w:p>
    <w:p w:rsidR="008A1063" w:rsidRPr="002F6264" w:rsidRDefault="008A1063" w:rsidP="008A1063">
      <w:pPr>
        <w:numPr>
          <w:ilvl w:val="0"/>
          <w:numId w:val="4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сроки оборота контейнеров.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АТО принимают к перевозке от грузоотправителя и сдают грузополучателю контейнеры с грузом по наружному осмотру контейнеров и пломб и по весу, сказанному грузоотправителем.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приеме груженого контейнера перевозчик производит наружный осмотр контейнера, проверяет целостность и исправность пломбы, а также соответствие номеров контейнеров и пломб номерам контейнеров и пломб, указанным в ТТН.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 допускается прием контейнеров с нечитаемыми пломбами. При обнаружении неисправности контейнера или пломбы, несоответствия их номеров указанным в ТТН шофер должен сообщить об этом грузоотправителю, который обязан устранить обнаруженные недостатки.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Грузоотправитель обязан до прибытия автомобиля загрузить контейнер, опломбировать его и подготовить товарно-транспортные документы. В каждый контейнер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с грузом он должен вложить опись груза, заверенную печатью и подписью, с указанием количества погруженных мест.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Перевозка грузов в контейнерах автомобильным транспортом оформляются ТТН на каждый груженый контейнер или группу контейнеров, которые перевозятся одним автомобилем (автопоездом) в адрес одного грузополучателя. В ТТН грузоотправитель указывает наименование груза, номер контейнера, номер пломбы, количество контейнеров, вес груза брутто и собственный вес контейнера.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Количество контейнеров и схемы их размещения на подвижном составе определяются совместно грузоотправителем и автотранспортной организацией, при этом общий вес контейнера брутто не должен превышать грузоподъемности ПС, а габариты контейнеров не должны выступать за габариты ПС, а также не должны превышать габаритов, указанных на дорожных знаках.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Грузы, прибывшие в исправном контейнере с неповрежденной пломбой грузоотправителя, выдаются грузополучателю без проверки веса, состояния груза и количества грузовых мест. Только после того, как роспись грузополучателя будет заверена печатью или штампом, он имеет право снять пломбу и вскрыть контейнер.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случае неисправности контейнера или нарушения пломбы об этом производится надпись в ТТН или составляется акт.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7.3. Перевозка грузов пакетами.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Грузы, которые по своим размерам и свойствам могут быть сформированы в пакеты, должны предъявляться грузоотправителем к перевозке, как правило, в пакетированном виде.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пакетом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понимается укрупненное грузовое место, сформированное из отдельных мест в таре (ящиках, мешках, бочках и др.), скрепленных между собой с помощью универсальных или специализированных, разового пользования или многооборотных пакетирующих средств на поддонах или без них, обеспечивающее в процессе транспортировке и хранения:</w:t>
      </w:r>
    </w:p>
    <w:p w:rsidR="008A1063" w:rsidRPr="002F6264" w:rsidRDefault="008A1063" w:rsidP="008A1063">
      <w:pPr>
        <w:numPr>
          <w:ilvl w:val="0"/>
          <w:numId w:val="5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возможность механизированной погрузки (выгрузки);</w:t>
      </w:r>
    </w:p>
    <w:p w:rsidR="008A1063" w:rsidRPr="002F6264" w:rsidRDefault="008A1063" w:rsidP="008A1063">
      <w:pPr>
        <w:numPr>
          <w:ilvl w:val="0"/>
          <w:numId w:val="5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целостность пакетов;</w:t>
      </w:r>
    </w:p>
    <w:p w:rsidR="008A1063" w:rsidRPr="002F6264" w:rsidRDefault="008A1063" w:rsidP="008A1063">
      <w:pPr>
        <w:numPr>
          <w:ilvl w:val="0"/>
          <w:numId w:val="5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максимальное использование грузоподъемности (вместимости) автомобилей.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Средства крепления грузов в пакете должны иметь контрольные знаки грузоотправителя и исключать возможность изъятия отдельных грузовых мест из пакета без нарушения крепления и контрольных знаков.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Контрольными знаками являются:</w:t>
      </w:r>
    </w:p>
    <w:p w:rsidR="008A1063" w:rsidRPr="002F6264" w:rsidRDefault="008A1063" w:rsidP="008A1063">
      <w:pPr>
        <w:numPr>
          <w:ilvl w:val="0"/>
          <w:numId w:val="6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пломбы;</w:t>
      </w:r>
    </w:p>
    <w:p w:rsidR="008A1063" w:rsidRPr="002F6264" w:rsidRDefault="008A1063" w:rsidP="008A1063">
      <w:pPr>
        <w:numPr>
          <w:ilvl w:val="0"/>
          <w:numId w:val="6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контрольная лента, скрепленная в замок;</w:t>
      </w:r>
    </w:p>
    <w:p w:rsidR="008A1063" w:rsidRPr="002F6264" w:rsidRDefault="008A1063" w:rsidP="008A1063">
      <w:pPr>
        <w:numPr>
          <w:ilvl w:val="0"/>
          <w:numId w:val="6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усадочная пленка.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Пакетирование грузов, как правило, осуществляется грузоотправителем до предъявления их к перевозке. Однако в договоре перевозки эта обязанность по соглашению сторон может быть возложена на другое лицо (АТО, экспедитора и др.).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 пакете указывается: количество грузовых мест в пакете и масса пакета брутто и нетто.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Пакетами на поддонах перевозятся тарные и штучные грузы. На плоских поддонах перевозятся грузы в стандартной таре и упаковке (мешках, коробках, мешках и т.п.). На стоечных поддонах – мелкоштучные, хрупкие грузы с неровными опорными поверхностями. В ящичных поддонах – грузы без упаковки.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Некоторые грузы (например, отливки цветных металлов, шины, кипы и др.) могут пакетироваться без применения поддонов.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формировании пакета должны соблюдаться следующие требования:</w:t>
      </w:r>
    </w:p>
    <w:p w:rsidR="008A1063" w:rsidRPr="002F6264" w:rsidRDefault="008A1063" w:rsidP="008A1063">
      <w:pPr>
        <w:numPr>
          <w:ilvl w:val="0"/>
          <w:numId w:val="7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вес пакета не должен превышать номинальной грузоподъемности поддона;</w:t>
      </w:r>
    </w:p>
    <w:p w:rsidR="008A1063" w:rsidRPr="002F6264" w:rsidRDefault="008A1063" w:rsidP="008A1063">
      <w:pPr>
        <w:numPr>
          <w:ilvl w:val="0"/>
          <w:numId w:val="7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суммарный свес пакета с каждой стороны плоского поддона не должен превышать 40мм.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Поддоны для перевозки грузов автомобильным транспортом могут принадлежать как перевозчикам, так и грузоотправителям (грузополучателям – при покупке товаров в стандартной заводской упаковке на поддоне). Поддоны, принадлежащие грузоотправителям (грузополучателям), после перевозке грузов должны быть возвращены их владельцам, если по условиям договора не предусмотрено иное.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Поддоны и другие пакетирующие средства, используемые для перевозки автомобильным транспортом, должны соответствовать требованиям стандартов.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7.4. Применение контейнеров на других видах транспорта.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Контейнеры на водном транспорте перевозятся специальными судами – контейнеровозами. Для их обработки в портах оборудуются специальные участки – контейнерные терминалы для хранения контейнеров. Они оборудованы специальной перегрузочной техникой для работы с контейнерами.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Разновидностью контейнерных перевозок являются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пакетные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В этом случае укрупнение грузовых мест достигается с помощью мягких или жестких строп. Пакетные перевозки на водном транспорте обычно применяются при перевозке лесных и генеральных грузов.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Контейнерные перевозки получили широкое распространение благодаря тому, что:</w:t>
      </w:r>
    </w:p>
    <w:p w:rsidR="008A1063" w:rsidRPr="002F6264" w:rsidRDefault="008A1063" w:rsidP="008A1063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производительность грузовых работ повышается в 8…10 раз;</w:t>
      </w:r>
    </w:p>
    <w:p w:rsidR="008A1063" w:rsidRPr="002F6264" w:rsidRDefault="008A1063" w:rsidP="008A1063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время стоянки в порту сокращается в 6…8раз;</w:t>
      </w:r>
    </w:p>
    <w:p w:rsidR="008A1063" w:rsidRPr="002F6264" w:rsidRDefault="008A1063" w:rsidP="008A1063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себестоимость грузовых работ снижается в 7…10 раз;</w:t>
      </w:r>
    </w:p>
    <w:p w:rsidR="008A1063" w:rsidRPr="002F6264" w:rsidRDefault="008A1063" w:rsidP="008A1063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количество грузчиков уменьшается в 10…15 раз.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Контейнерные перевозки имеют и свои недостатки:</w:t>
      </w:r>
    </w:p>
    <w:p w:rsidR="008A1063" w:rsidRPr="002F6264" w:rsidRDefault="008A1063" w:rsidP="008A1063">
      <w:pPr>
        <w:numPr>
          <w:ilvl w:val="0"/>
          <w:numId w:val="9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они требуют больших начальных капиталовложений (строительство судов, контейнеров, дорог);</w:t>
      </w:r>
    </w:p>
    <w:p w:rsidR="008A1063" w:rsidRPr="002F6264" w:rsidRDefault="008A1063" w:rsidP="008A1063">
      <w:pPr>
        <w:numPr>
          <w:ilvl w:val="0"/>
          <w:numId w:val="9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грузовместимость контейнеров снижается от 15 до 30%, а грузоподъемность – на 15% за счет массы контейнеров и их габаритов; контейнеровозы плохо приспособлены для перевозки других грузов.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Наибольшее развитие контейнерные перевозки получили в экономически сильных государствах.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Близки по своей сути к контейнерным перевозкам лихтерные перевозки.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Лихтер 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является плавучим контейнером. В среднем один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лихтеровоз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заменяет 6 универсальных судов и увеличивает скорость доставки грузов в 1,5…2 раза.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лихтеровозной системе в качестве единицы укрупнения грузовых единиц используются лихтеры, основанные на типоразмерах речных барж.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Свои особенности имеет перевозка грузов укрупненными единицами на воздушном транспорте (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см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[2 стр. 301-312]).</w:t>
      </w:r>
    </w:p>
    <w:p w:rsidR="008A1063" w:rsidRPr="002F6264" w:rsidRDefault="008A1063" w:rsidP="008A1063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Совершенствование контейнерных перевозок пошло в направлении возникновения </w:t>
      </w:r>
      <w:proofErr w:type="spellStart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интермодальных</w:t>
      </w:r>
      <w:proofErr w:type="spellEnd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перевозок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– перевозок грузов в контейнерах одним оператором по единому грузовому документу с передачей груза с одного вида транспорта на другой.</w:t>
      </w:r>
    </w:p>
    <w:p w:rsidR="00AC38AA" w:rsidRDefault="008A1063" w:rsidP="004B0B53">
      <w:pPr>
        <w:spacing w:after="0" w:line="240" w:lineRule="auto"/>
        <w:ind w:right="-5" w:firstLine="720"/>
        <w:jc w:val="both"/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Еще более прогрессивны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proofErr w:type="spellStart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мультимодальные</w:t>
      </w:r>
      <w:proofErr w:type="spellEnd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перевозки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«от двери до двери» из любой точки в любую точку земного шара по единому транспортному документу с различными комбинациями видов транспорта, включая воздушный.</w:t>
      </w:r>
      <w:proofErr w:type="gramEnd"/>
    </w:p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452C"/>
    <w:multiLevelType w:val="multilevel"/>
    <w:tmpl w:val="CAA24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465D27"/>
    <w:multiLevelType w:val="multilevel"/>
    <w:tmpl w:val="C2F49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064EA8"/>
    <w:multiLevelType w:val="multilevel"/>
    <w:tmpl w:val="9DC0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BA446F"/>
    <w:multiLevelType w:val="multilevel"/>
    <w:tmpl w:val="3B663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A4E36"/>
    <w:multiLevelType w:val="multilevel"/>
    <w:tmpl w:val="69AA0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F86C97"/>
    <w:multiLevelType w:val="multilevel"/>
    <w:tmpl w:val="41966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150534"/>
    <w:multiLevelType w:val="multilevel"/>
    <w:tmpl w:val="BA3E6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AC62EC"/>
    <w:multiLevelType w:val="multilevel"/>
    <w:tmpl w:val="6BF4D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0A256D"/>
    <w:multiLevelType w:val="multilevel"/>
    <w:tmpl w:val="228CD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8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1063"/>
    <w:rsid w:val="00293D1A"/>
    <w:rsid w:val="004B0B53"/>
    <w:rsid w:val="008A1063"/>
    <w:rsid w:val="00AC38AA"/>
    <w:rsid w:val="00C5631C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6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2401</Words>
  <Characters>13686</Characters>
  <Application>Microsoft Office Word</Application>
  <DocSecurity>0</DocSecurity>
  <Lines>114</Lines>
  <Paragraphs>32</Paragraphs>
  <ScaleCrop>false</ScaleCrop>
  <Company/>
  <LinksUpToDate>false</LinksUpToDate>
  <CharactersWithSpaces>16055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2016-09-18T06:01:00Z</dcterms:created>
  <dcterms:modified xsi:type="dcterms:W3CDTF">2016-09-18T06:11:00Z</dcterms:modified>
</cp:coreProperties>
</file>